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8C" w:rsidRPr="004A6A0A" w:rsidRDefault="001A268C" w:rsidP="00DC30F6">
      <w:pPr>
        <w:outlineLvl w:val="0"/>
        <w:rPr>
          <w:rFonts w:ascii="Calibri" w:hAnsi="Calibri"/>
          <w:b/>
          <w:i/>
          <w:szCs w:val="24"/>
          <w:lang w:val="en-GB"/>
        </w:rPr>
      </w:pPr>
    </w:p>
    <w:p w:rsidR="00291671" w:rsidRDefault="00291671" w:rsidP="009439C5">
      <w:pPr>
        <w:spacing w:line="276" w:lineRule="auto"/>
        <w:jc w:val="center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>New size DE</w:t>
      </w:r>
      <w:r w:rsidR="00B94223">
        <w:rPr>
          <w:rFonts w:ascii="Calibri" w:hAnsi="Calibri"/>
          <w:b/>
          <w:iCs/>
          <w:sz w:val="28"/>
          <w:szCs w:val="28"/>
        </w:rPr>
        <w:t>D</w:t>
      </w:r>
      <w:r>
        <w:rPr>
          <w:rFonts w:ascii="Calibri" w:hAnsi="Calibri"/>
          <w:b/>
          <w:iCs/>
          <w:sz w:val="28"/>
          <w:szCs w:val="28"/>
        </w:rPr>
        <w:t xml:space="preserve"> series r</w:t>
      </w:r>
      <w:r w:rsidR="00B57596">
        <w:rPr>
          <w:rFonts w:ascii="Calibri" w:hAnsi="Calibri"/>
          <w:b/>
          <w:iCs/>
          <w:sz w:val="28"/>
          <w:szCs w:val="28"/>
        </w:rPr>
        <w:t xml:space="preserve">ugged </w:t>
      </w:r>
      <w:r w:rsidR="00074ACC">
        <w:rPr>
          <w:rFonts w:ascii="Calibri" w:hAnsi="Calibri"/>
          <w:b/>
          <w:iCs/>
          <w:sz w:val="28"/>
          <w:szCs w:val="28"/>
        </w:rPr>
        <w:t>IP65 d</w:t>
      </w:r>
      <w:r w:rsidR="00B57596">
        <w:rPr>
          <w:rFonts w:ascii="Calibri" w:hAnsi="Calibri"/>
          <w:b/>
          <w:iCs/>
          <w:sz w:val="28"/>
          <w:szCs w:val="28"/>
        </w:rPr>
        <w:t xml:space="preserve">oor enclosures </w:t>
      </w:r>
      <w:r>
        <w:rPr>
          <w:rFonts w:ascii="Calibri" w:hAnsi="Calibri"/>
          <w:b/>
          <w:iCs/>
          <w:sz w:val="28"/>
          <w:szCs w:val="28"/>
        </w:rPr>
        <w:t>from Hylec-APL increase design flexibility</w:t>
      </w:r>
    </w:p>
    <w:p w:rsidR="00C46F1A" w:rsidRPr="0017282D" w:rsidRDefault="00C46F1A" w:rsidP="00C46F1A">
      <w:pPr>
        <w:spacing w:line="276" w:lineRule="auto"/>
        <w:jc w:val="both"/>
        <w:rPr>
          <w:rFonts w:ascii="Calibri" w:hAnsi="Calibri"/>
          <w:i/>
          <w:iCs/>
          <w:highlight w:val="yellow"/>
        </w:rPr>
      </w:pPr>
    </w:p>
    <w:p w:rsidR="00C46F1A" w:rsidRDefault="00291671" w:rsidP="00C46F1A">
      <w:pPr>
        <w:spacing w:line="276" w:lineRule="auto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Simple to install; no ‘extra’ fittings required; </w:t>
      </w:r>
      <w:r w:rsidR="00DE5C92">
        <w:rPr>
          <w:rFonts w:ascii="Calibri" w:hAnsi="Calibri"/>
          <w:i/>
          <w:iCs/>
        </w:rPr>
        <w:t>unique construction ensures long life</w:t>
      </w:r>
    </w:p>
    <w:p w:rsidR="00C46F1A" w:rsidRDefault="00C46F1A" w:rsidP="00C46F1A">
      <w:pPr>
        <w:spacing w:line="276" w:lineRule="auto"/>
        <w:jc w:val="both"/>
        <w:rPr>
          <w:rFonts w:ascii="Calibri" w:hAnsi="Calibri"/>
          <w:i/>
          <w:iCs/>
        </w:rPr>
      </w:pPr>
    </w:p>
    <w:p w:rsidR="00C656D7" w:rsidRDefault="006D455D" w:rsidP="00C656D7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="Calibri" w:hAnsi="Calibri"/>
          <w:i/>
          <w:iCs/>
        </w:rPr>
        <w:t xml:space="preserve">February </w:t>
      </w:r>
      <w:r w:rsidR="00D47A0E">
        <w:rPr>
          <w:rFonts w:ascii="Calibri" w:hAnsi="Calibri"/>
          <w:i/>
          <w:iCs/>
        </w:rPr>
        <w:t>2016</w:t>
      </w:r>
      <w:r w:rsidR="00C46F1A">
        <w:rPr>
          <w:rFonts w:ascii="Calibri" w:hAnsi="Calibri"/>
          <w:i/>
          <w:iCs/>
        </w:rPr>
        <w:t xml:space="preserve"> – </w:t>
      </w:r>
      <w:proofErr w:type="spellStart"/>
      <w:r w:rsidR="00C46F1A">
        <w:rPr>
          <w:rFonts w:ascii="Calibri" w:hAnsi="Calibri"/>
          <w:i/>
          <w:iCs/>
        </w:rPr>
        <w:t>Wellingborough</w:t>
      </w:r>
      <w:proofErr w:type="spellEnd"/>
      <w:r w:rsidR="00C46F1A">
        <w:rPr>
          <w:rFonts w:ascii="Calibri" w:hAnsi="Calibri"/>
          <w:i/>
          <w:iCs/>
        </w:rPr>
        <w:t>, UK:</w:t>
      </w:r>
      <w:r w:rsidR="00C46F1A">
        <w:rPr>
          <w:rFonts w:ascii="Calibri" w:hAnsi="Calibri"/>
        </w:rPr>
        <w:t xml:space="preserve"> Hylec-APL, the specialist supplier of electrical components, enclosures and rack systems, </w:t>
      </w:r>
      <w:r w:rsidR="00B57596">
        <w:rPr>
          <w:rFonts w:ascii="Calibri" w:hAnsi="Calibri"/>
        </w:rPr>
        <w:t xml:space="preserve">has </w:t>
      </w:r>
      <w:r w:rsidR="00D47A0E">
        <w:rPr>
          <w:rFonts w:ascii="Calibri" w:hAnsi="Calibri"/>
        </w:rPr>
        <w:t xml:space="preserve">added two new sizes to its </w:t>
      </w:r>
      <w:r w:rsidR="0064150B">
        <w:rPr>
          <w:rFonts w:ascii="Calibri" w:hAnsi="Calibri"/>
        </w:rPr>
        <w:t xml:space="preserve">IP65-rated </w:t>
      </w:r>
      <w:r w:rsidR="00D47A0E">
        <w:rPr>
          <w:rFonts w:ascii="Calibri" w:hAnsi="Calibri"/>
        </w:rPr>
        <w:t>DE</w:t>
      </w:r>
      <w:r w:rsidR="00B94223">
        <w:rPr>
          <w:rFonts w:ascii="Calibri" w:hAnsi="Calibri"/>
        </w:rPr>
        <w:t>D</w:t>
      </w:r>
      <w:r w:rsidR="00D47A0E">
        <w:rPr>
          <w:rFonts w:ascii="Calibri" w:hAnsi="Calibri"/>
        </w:rPr>
        <w:t xml:space="preserve"> range of rugged door enclosures, with the option of solid or transparent doors. The new units measure </w:t>
      </w:r>
      <w:r w:rsidR="00D47A0E" w:rsidRPr="00D47A0E">
        <w:rPr>
          <w:rFonts w:asciiTheme="minorHAnsi" w:eastAsia="Times New Roman" w:hAnsiTheme="minorHAnsi"/>
          <w:bCs/>
          <w:szCs w:val="24"/>
          <w:lang w:eastAsia="en-GB"/>
        </w:rPr>
        <w:t>400</w:t>
      </w:r>
      <w:r w:rsidR="00D47A0E">
        <w:rPr>
          <w:rFonts w:asciiTheme="minorHAnsi" w:eastAsia="Times New Roman" w:hAnsiTheme="minorHAnsi"/>
          <w:bCs/>
          <w:lang w:eastAsia="en-GB"/>
        </w:rPr>
        <w:t xml:space="preserve"> </w:t>
      </w:r>
      <w:r w:rsidR="00D47A0E" w:rsidRPr="00D47A0E">
        <w:rPr>
          <w:rFonts w:asciiTheme="minorHAnsi" w:eastAsia="Times New Roman" w:hAnsiTheme="minorHAnsi"/>
          <w:bCs/>
          <w:szCs w:val="24"/>
          <w:lang w:eastAsia="en-GB"/>
        </w:rPr>
        <w:t>x</w:t>
      </w:r>
      <w:r w:rsidR="00D47A0E">
        <w:rPr>
          <w:rFonts w:asciiTheme="minorHAnsi" w:eastAsia="Times New Roman" w:hAnsiTheme="minorHAnsi"/>
          <w:bCs/>
          <w:lang w:eastAsia="en-GB"/>
        </w:rPr>
        <w:t xml:space="preserve"> </w:t>
      </w:r>
      <w:r w:rsidR="00D47A0E" w:rsidRPr="00D47A0E">
        <w:rPr>
          <w:rFonts w:asciiTheme="minorHAnsi" w:eastAsia="Times New Roman" w:hAnsiTheme="minorHAnsi"/>
          <w:bCs/>
          <w:szCs w:val="24"/>
          <w:lang w:eastAsia="en-GB"/>
        </w:rPr>
        <w:t>175</w:t>
      </w:r>
      <w:r w:rsidR="00D47A0E">
        <w:rPr>
          <w:rFonts w:asciiTheme="minorHAnsi" w:eastAsia="Times New Roman" w:hAnsiTheme="minorHAnsi"/>
          <w:bCs/>
          <w:lang w:eastAsia="en-GB"/>
        </w:rPr>
        <w:t xml:space="preserve"> x 500mm</w:t>
      </w:r>
      <w:r w:rsidR="00D47A0E" w:rsidRPr="00D47A0E">
        <w:rPr>
          <w:rFonts w:asciiTheme="minorHAnsi" w:eastAsia="Times New Roman" w:hAnsiTheme="minorHAnsi"/>
          <w:bCs/>
          <w:szCs w:val="24"/>
          <w:lang w:eastAsia="en-GB"/>
        </w:rPr>
        <w:t xml:space="preserve"> (</w:t>
      </w:r>
      <w:r w:rsidR="00D47A0E">
        <w:rPr>
          <w:rFonts w:asciiTheme="minorHAnsi" w:eastAsia="Times New Roman" w:hAnsiTheme="minorHAnsi"/>
          <w:bCs/>
          <w:lang w:eastAsia="en-GB"/>
        </w:rPr>
        <w:t>w</w:t>
      </w:r>
      <w:r w:rsidR="00DE5C92">
        <w:rPr>
          <w:rFonts w:asciiTheme="minorHAnsi" w:eastAsia="Times New Roman" w:hAnsiTheme="minorHAnsi"/>
          <w:bCs/>
          <w:lang w:eastAsia="en-GB"/>
        </w:rPr>
        <w:t>,</w:t>
      </w:r>
      <w:r w:rsidR="00DE5C92" w:rsidRPr="00D47A0E">
        <w:rPr>
          <w:rFonts w:asciiTheme="minorHAnsi" w:eastAsia="Times New Roman" w:hAnsiTheme="minorHAnsi"/>
          <w:bCs/>
          <w:szCs w:val="24"/>
          <w:lang w:eastAsia="en-GB"/>
        </w:rPr>
        <w:t xml:space="preserve"> d, and h</w:t>
      </w:r>
      <w:r w:rsidR="00D47A0E" w:rsidRPr="00D47A0E">
        <w:rPr>
          <w:rFonts w:asciiTheme="minorHAnsi" w:eastAsia="Times New Roman" w:hAnsiTheme="minorHAnsi"/>
          <w:bCs/>
          <w:szCs w:val="24"/>
          <w:lang w:eastAsia="en-GB"/>
        </w:rPr>
        <w:t>)</w:t>
      </w:r>
      <w:r w:rsidR="00D47A0E">
        <w:rPr>
          <w:rFonts w:asciiTheme="minorHAnsi" w:eastAsia="Times New Roman" w:hAnsiTheme="minorHAnsi"/>
          <w:bCs/>
          <w:lang w:eastAsia="en-GB"/>
        </w:rPr>
        <w:t xml:space="preserve"> and </w:t>
      </w:r>
      <w:r w:rsidR="00D47A0E" w:rsidRPr="00D47A0E">
        <w:rPr>
          <w:rFonts w:asciiTheme="minorHAnsi" w:eastAsia="Times New Roman" w:hAnsiTheme="minorHAnsi"/>
          <w:bCs/>
          <w:szCs w:val="24"/>
          <w:lang w:eastAsia="en-GB"/>
        </w:rPr>
        <w:t>600</w:t>
      </w:r>
      <w:r w:rsidR="00D47A0E">
        <w:rPr>
          <w:rFonts w:asciiTheme="minorHAnsi" w:eastAsia="Times New Roman" w:hAnsiTheme="minorHAnsi"/>
          <w:bCs/>
          <w:lang w:eastAsia="en-GB"/>
        </w:rPr>
        <w:t xml:space="preserve"> </w:t>
      </w:r>
      <w:r w:rsidR="00D47A0E" w:rsidRPr="00D47A0E">
        <w:rPr>
          <w:rFonts w:asciiTheme="minorHAnsi" w:eastAsia="Times New Roman" w:hAnsiTheme="minorHAnsi"/>
          <w:bCs/>
          <w:szCs w:val="24"/>
          <w:lang w:eastAsia="en-GB"/>
        </w:rPr>
        <w:t>x260</w:t>
      </w:r>
      <w:r w:rsidR="00D47A0E">
        <w:rPr>
          <w:rFonts w:asciiTheme="minorHAnsi" w:eastAsia="Times New Roman" w:hAnsiTheme="minorHAnsi"/>
          <w:bCs/>
          <w:lang w:eastAsia="en-GB"/>
        </w:rPr>
        <w:t xml:space="preserve"> x 800mm</w:t>
      </w:r>
      <w:r w:rsidR="00D47A0E" w:rsidRPr="00D47A0E">
        <w:rPr>
          <w:rFonts w:asciiTheme="minorHAnsi" w:eastAsia="Times New Roman" w:hAnsiTheme="minorHAnsi"/>
          <w:bCs/>
          <w:szCs w:val="24"/>
          <w:lang w:eastAsia="en-GB"/>
        </w:rPr>
        <w:t xml:space="preserve"> (</w:t>
      </w:r>
      <w:r w:rsidR="00D47A0E">
        <w:rPr>
          <w:rFonts w:asciiTheme="minorHAnsi" w:eastAsia="Times New Roman" w:hAnsiTheme="minorHAnsi"/>
          <w:bCs/>
          <w:lang w:eastAsia="en-GB"/>
        </w:rPr>
        <w:t>w</w:t>
      </w:r>
      <w:r w:rsidR="00DE5C92">
        <w:rPr>
          <w:rFonts w:asciiTheme="minorHAnsi" w:eastAsia="Times New Roman" w:hAnsiTheme="minorHAnsi"/>
          <w:bCs/>
          <w:lang w:eastAsia="en-GB"/>
        </w:rPr>
        <w:t>,</w:t>
      </w:r>
      <w:r w:rsidR="00DE5C92" w:rsidRPr="00D47A0E">
        <w:rPr>
          <w:rFonts w:asciiTheme="minorHAnsi" w:eastAsia="Times New Roman" w:hAnsiTheme="minorHAnsi"/>
          <w:bCs/>
          <w:szCs w:val="24"/>
          <w:lang w:eastAsia="en-GB"/>
        </w:rPr>
        <w:t xml:space="preserve"> d, h</w:t>
      </w:r>
      <w:r w:rsidR="00D47A0E" w:rsidRPr="00D47A0E">
        <w:rPr>
          <w:rFonts w:asciiTheme="minorHAnsi" w:eastAsia="Times New Roman" w:hAnsiTheme="minorHAnsi"/>
          <w:bCs/>
          <w:szCs w:val="24"/>
          <w:lang w:eastAsia="en-GB"/>
        </w:rPr>
        <w:t>)</w:t>
      </w:r>
      <w:r w:rsidR="00D47A0E">
        <w:rPr>
          <w:rFonts w:asciiTheme="minorHAnsi" w:eastAsia="Times New Roman" w:hAnsiTheme="minorHAnsi"/>
          <w:bCs/>
          <w:lang w:eastAsia="en-GB"/>
        </w:rPr>
        <w:t xml:space="preserve"> and their construction ensures that they deliver </w:t>
      </w:r>
      <w:r w:rsidR="00D47A0E">
        <w:rPr>
          <w:rFonts w:ascii="Calibri" w:hAnsi="Calibri"/>
        </w:rPr>
        <w:t>maintenance-free and cost-effective housings for applications that are designed to have a long working life.</w:t>
      </w:r>
      <w:r w:rsidR="00C656D7">
        <w:rPr>
          <w:rFonts w:ascii="Calibri" w:hAnsi="Calibri"/>
        </w:rPr>
        <w:t xml:space="preserve"> </w:t>
      </w:r>
      <w:r w:rsidR="00C656D7">
        <w:rPr>
          <w:rFonts w:asciiTheme="minorHAnsi" w:eastAsia="Times New Roman" w:hAnsiTheme="minorHAnsi" w:cs="Arial"/>
          <w:color w:val="000000"/>
          <w:lang w:eastAsia="en-GB"/>
        </w:rPr>
        <w:t>L</w:t>
      </w:r>
      <w:r w:rsidR="00C656D7" w:rsidRPr="00B57596">
        <w:rPr>
          <w:rFonts w:asciiTheme="minorHAnsi" w:eastAsia="Times New Roman" w:hAnsiTheme="minorHAnsi" w:cs="Arial"/>
          <w:color w:val="000000"/>
          <w:lang w:eastAsia="en-GB"/>
        </w:rPr>
        <w:t xml:space="preserve">iquid gasket seals </w:t>
      </w:r>
      <w:r w:rsidR="00C656D7">
        <w:rPr>
          <w:rFonts w:asciiTheme="minorHAnsi" w:eastAsia="Times New Roman" w:hAnsiTheme="minorHAnsi" w:cs="Arial"/>
          <w:color w:val="000000"/>
          <w:lang w:eastAsia="en-GB"/>
        </w:rPr>
        <w:t>ensure IP65 protection is maintained, even when the doors are repeatedly opened and closed for regular access.</w:t>
      </w:r>
    </w:p>
    <w:p w:rsidR="00D47A0E" w:rsidRDefault="00D47A0E" w:rsidP="00B5759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</w:rPr>
      </w:pPr>
    </w:p>
    <w:p w:rsidR="0064150B" w:rsidRDefault="0064150B" w:rsidP="0064150B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000000"/>
          <w:szCs w:val="24"/>
          <w:lang w:val="en-GB" w:eastAsia="en-GB"/>
        </w:rPr>
      </w:pPr>
      <w:r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>DE</w:t>
      </w:r>
      <w:r w:rsidR="00B94223"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>D</w:t>
      </w:r>
      <w:r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 xml:space="preserve"> series door enclosures are now available in a range of sizes measuring from 200 x 300 x 130mm high to 600 x 800 x 260mm. Unlike inferior products, </w:t>
      </w:r>
      <w:r w:rsidR="00DE5C92">
        <w:rPr>
          <w:rFonts w:ascii="Calibri" w:hAnsi="Calibri"/>
        </w:rPr>
        <w:t>all</w:t>
      </w:r>
      <w:r w:rsidR="00074ACC">
        <w:rPr>
          <w:rFonts w:ascii="Calibri" w:hAnsi="Calibri"/>
        </w:rPr>
        <w:t xml:space="preserve"> DE enclosures are</w:t>
      </w:r>
      <w:r w:rsidR="009D566B">
        <w:rPr>
          <w:rFonts w:ascii="Calibri" w:hAnsi="Calibri"/>
        </w:rPr>
        <w:t xml:space="preserve"> </w:t>
      </w:r>
      <w:r w:rsidR="00B57596" w:rsidRPr="009D566B">
        <w:rPr>
          <w:rFonts w:asciiTheme="minorHAnsi" w:eastAsia="Times New Roman" w:hAnsiTheme="minorHAnsi" w:cs="Arial"/>
          <w:bCs/>
          <w:color w:val="000000"/>
          <w:lang w:eastAsia="en-GB"/>
        </w:rPr>
        <w:t>supplied</w:t>
      </w:r>
      <w:r>
        <w:rPr>
          <w:rFonts w:asciiTheme="minorHAnsi" w:eastAsia="Times New Roman" w:hAnsiTheme="minorHAnsi" w:cs="Arial"/>
          <w:bCs/>
          <w:color w:val="000000"/>
          <w:lang w:eastAsia="en-GB"/>
        </w:rPr>
        <w:t xml:space="preserve"> as standard</w:t>
      </w:r>
      <w:r w:rsidR="00B57596" w:rsidRPr="009D566B">
        <w:rPr>
          <w:rFonts w:asciiTheme="minorHAnsi" w:eastAsia="Times New Roman" w:hAnsiTheme="minorHAnsi" w:cs="Arial"/>
          <w:bCs/>
          <w:color w:val="000000"/>
          <w:lang w:eastAsia="en-GB"/>
        </w:rPr>
        <w:t xml:space="preserve"> with a </w:t>
      </w:r>
      <w:proofErr w:type="spellStart"/>
      <w:r w:rsidR="00B57596" w:rsidRPr="009D566B">
        <w:rPr>
          <w:rFonts w:asciiTheme="minorHAnsi" w:eastAsia="Times New Roman" w:hAnsiTheme="minorHAnsi" w:cs="Arial"/>
          <w:bCs/>
          <w:color w:val="000000"/>
          <w:lang w:eastAsia="en-GB"/>
        </w:rPr>
        <w:t>galvanised</w:t>
      </w:r>
      <w:proofErr w:type="spellEnd"/>
      <w:r w:rsidR="00B57596" w:rsidRPr="009D566B">
        <w:rPr>
          <w:rFonts w:asciiTheme="minorHAnsi" w:eastAsia="Times New Roman" w:hAnsiTheme="minorHAnsi" w:cs="Arial"/>
          <w:bCs/>
          <w:color w:val="000000"/>
          <w:lang w:eastAsia="en-GB"/>
        </w:rPr>
        <w:t xml:space="preserve"> steel back plate, external mounting brackets and a lock and key as standard</w:t>
      </w:r>
      <w:r>
        <w:rPr>
          <w:rFonts w:asciiTheme="minorHAnsi" w:eastAsia="Times New Roman" w:hAnsiTheme="minorHAnsi" w:cs="Arial"/>
          <w:bCs/>
          <w:color w:val="000000"/>
          <w:lang w:eastAsia="en-GB"/>
        </w:rPr>
        <w:t>. This means that there are no hidden ‘extra’ costs and that installation should proceed smoothly and fuss-free. E</w:t>
      </w:r>
      <w:proofErr w:type="spellStart"/>
      <w:r w:rsidR="00DE5C92" w:rsidRPr="00B57596"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>xternal</w:t>
      </w:r>
      <w:proofErr w:type="spellEnd"/>
      <w:r w:rsidRPr="00B57596"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 xml:space="preserve"> wall brackets </w:t>
      </w:r>
      <w:r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>further</w:t>
      </w:r>
      <w:r w:rsidRPr="00B57596"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 xml:space="preserve"> </w:t>
      </w:r>
      <w:r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>simplify installation, yet they</w:t>
      </w:r>
      <w:r w:rsidRPr="00B57596"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 xml:space="preserve"> do</w:t>
      </w:r>
      <w:r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 xml:space="preserve"> no</w:t>
      </w:r>
      <w:r w:rsidRPr="00B57596"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>t c</w:t>
      </w:r>
      <w:r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>ompromise the overall IP rating.</w:t>
      </w:r>
    </w:p>
    <w:p w:rsidR="0064150B" w:rsidRDefault="0064150B" w:rsidP="0064150B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000000"/>
          <w:szCs w:val="24"/>
          <w:lang w:val="en-GB" w:eastAsia="en-GB"/>
        </w:rPr>
      </w:pPr>
    </w:p>
    <w:p w:rsidR="0064150B" w:rsidRDefault="0064150B" w:rsidP="0064150B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000000"/>
          <w:szCs w:val="24"/>
          <w:lang w:val="en-GB" w:eastAsia="en-GB"/>
        </w:rPr>
      </w:pPr>
      <w:r>
        <w:rPr>
          <w:rFonts w:ascii="Calibri" w:hAnsi="Calibri"/>
          <w:lang w:eastAsia="en-US"/>
        </w:rPr>
        <w:t xml:space="preserve">Comments Mark Severn, Director of Sales for Hylec-APL: “By introducing these new sizes we are increasing design flexibility, yet ensuring that the customer gets exactly the right sized product for his </w:t>
      </w:r>
      <w:r w:rsidR="00674C8E">
        <w:rPr>
          <w:rFonts w:ascii="Calibri" w:hAnsi="Calibri"/>
          <w:lang w:eastAsia="en-US"/>
        </w:rPr>
        <w:t>design</w:t>
      </w:r>
      <w:r>
        <w:rPr>
          <w:rFonts w:ascii="Calibri" w:hAnsi="Calibri"/>
          <w:lang w:eastAsia="en-US"/>
        </w:rPr>
        <w:t>.</w:t>
      </w:r>
      <w:r w:rsidR="00674C8E">
        <w:rPr>
          <w:rFonts w:ascii="Calibri" w:hAnsi="Calibri"/>
          <w:lang w:eastAsia="en-US"/>
        </w:rPr>
        <w:t xml:space="preserve"> A</w:t>
      </w:r>
      <w:proofErr w:type="spellStart"/>
      <w:r w:rsidR="00DE5C92"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>pplications</w:t>
      </w:r>
      <w:proofErr w:type="spellEnd"/>
      <w:r w:rsidR="00674C8E"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 xml:space="preserve"> are many and varied, including</w:t>
      </w:r>
      <w:r w:rsidR="00674C8E" w:rsidRPr="00B57596"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 xml:space="preserve"> industrial control and automation, holiday home consumer units, HVAC, lighting etc</w:t>
      </w:r>
      <w:r>
        <w:rPr>
          <w:rFonts w:ascii="Calibri" w:hAnsi="Calibri"/>
          <w:lang w:eastAsia="en-US"/>
        </w:rPr>
        <w:t>”</w:t>
      </w:r>
    </w:p>
    <w:p w:rsidR="00B57596" w:rsidRPr="009D566B" w:rsidRDefault="00B57596" w:rsidP="009D566B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000000"/>
          <w:szCs w:val="24"/>
          <w:lang w:val="en-GB" w:eastAsia="en-GB"/>
        </w:rPr>
      </w:pPr>
    </w:p>
    <w:p w:rsidR="00B57596" w:rsidRPr="00B57596" w:rsidRDefault="00674C8E" w:rsidP="009D566B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000000"/>
          <w:szCs w:val="24"/>
          <w:lang w:val="en-GB" w:eastAsia="en-GB"/>
        </w:rPr>
      </w:pPr>
      <w:r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>DE</w:t>
      </w:r>
      <w:r w:rsidR="00B94223"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>D</w:t>
      </w:r>
      <w:r w:rsidR="00B57596" w:rsidRPr="00B57596"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 xml:space="preserve"> enclosures are available directly from Hylec-APL</w:t>
      </w:r>
      <w:r w:rsidR="00D636F7"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 xml:space="preserve">. They are also </w:t>
      </w:r>
      <w:r w:rsidR="00B57596" w:rsidRPr="00B57596"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 xml:space="preserve">held in stock by many of the UK’s leading distributors and wholesalers including </w:t>
      </w:r>
      <w:proofErr w:type="spellStart"/>
      <w:r w:rsidR="00B57596" w:rsidRPr="00B57596"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>Evatron</w:t>
      </w:r>
      <w:proofErr w:type="spellEnd"/>
      <w:r w:rsidR="00B57596" w:rsidRPr="00B57596">
        <w:rPr>
          <w:rFonts w:asciiTheme="minorHAnsi" w:eastAsia="Times New Roman" w:hAnsiTheme="minorHAnsi" w:cs="Arial"/>
          <w:color w:val="000000"/>
          <w:szCs w:val="24"/>
          <w:lang w:val="en-GB" w:eastAsia="en-GB"/>
        </w:rPr>
        <w:t>, CPC, Rapid, QVS, Edmundson and more.</w:t>
      </w:r>
    </w:p>
    <w:p w:rsidR="00B57596" w:rsidRPr="009D566B" w:rsidRDefault="00B57596" w:rsidP="009D56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8D603D" w:rsidRDefault="00CA7BFD" w:rsidP="00254209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Theme="minorHAnsi" w:eastAsia="Times New Roman" w:hAnsiTheme="minorHAnsi" w:cs="Arial"/>
          <w:color w:val="000000"/>
          <w:lang w:eastAsia="en-GB"/>
        </w:rPr>
      </w:pPr>
      <w:r>
        <w:rPr>
          <w:rFonts w:asciiTheme="minorHAnsi" w:eastAsia="Times New Roman" w:hAnsiTheme="minorHAnsi" w:cs="Arial"/>
          <w:color w:val="000000"/>
          <w:lang w:eastAsia="en-GB"/>
        </w:rPr>
        <w:t>For more details please visit</w:t>
      </w:r>
      <w:r w:rsidR="008D603D">
        <w:rPr>
          <w:rFonts w:asciiTheme="minorHAnsi" w:eastAsia="Times New Roman" w:hAnsiTheme="minorHAnsi" w:cs="Arial"/>
          <w:color w:val="000000"/>
          <w:lang w:eastAsia="en-GB"/>
        </w:rPr>
        <w:t>:</w:t>
      </w:r>
    </w:p>
    <w:p w:rsidR="00FA75EA" w:rsidRPr="00FA75EA" w:rsidRDefault="009A0E7E" w:rsidP="00254209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/>
        </w:rPr>
      </w:pPr>
      <w:hyperlink r:id="rId8" w:history="1">
        <w:r w:rsidR="008D603D">
          <w:rPr>
            <w:rStyle w:val="Hyperlink"/>
            <w:rFonts w:eastAsia="Times New Roman"/>
          </w:rPr>
          <w:t>http://www.hylec-apl.com/ABS-Door-Enclosures.html</w:t>
        </w:r>
      </w:hyperlink>
    </w:p>
    <w:p w:rsidR="00C46F1A" w:rsidRDefault="00C46F1A" w:rsidP="00FA75EA">
      <w:pPr>
        <w:spacing w:line="276" w:lineRule="auto"/>
        <w:jc w:val="both"/>
        <w:rPr>
          <w:rFonts w:ascii="Calibri" w:hAnsi="Calibri"/>
          <w:lang w:eastAsia="en-US"/>
        </w:rPr>
      </w:pPr>
    </w:p>
    <w:p w:rsidR="00C46F1A" w:rsidRPr="00C46F1A" w:rsidRDefault="00C46F1A" w:rsidP="00C46F1A">
      <w:pPr>
        <w:shd w:val="clear" w:color="auto" w:fill="FFFFFF"/>
        <w:spacing w:line="276" w:lineRule="auto"/>
        <w:jc w:val="both"/>
        <w:rPr>
          <w:rStyle w:val="Strong"/>
          <w:rFonts w:asciiTheme="minorHAnsi" w:hAnsiTheme="minorHAnsi"/>
          <w:b w:val="0"/>
          <w:bCs w:val="0"/>
          <w:color w:val="000000"/>
          <w:lang w:eastAsia="en-US"/>
        </w:rPr>
      </w:pPr>
    </w:p>
    <w:p w:rsidR="00B330DA" w:rsidRDefault="00B330D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C46F1A" w:rsidRDefault="00C46F1A" w:rsidP="00C46F1A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D455D">
        <w:rPr>
          <w:rFonts w:asciiTheme="minorHAnsi" w:hAnsiTheme="minorHAnsi"/>
          <w:b/>
          <w:sz w:val="22"/>
          <w:szCs w:val="22"/>
          <w:u w:val="single"/>
        </w:rPr>
        <w:lastRenderedPageBreak/>
        <w:t>About Hylec-APL</w:t>
      </w:r>
    </w:p>
    <w:p w:rsidR="00B330DA" w:rsidRPr="006D455D" w:rsidRDefault="00B330DA" w:rsidP="00C46F1A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46F1A" w:rsidRDefault="00C46F1A" w:rsidP="00C46F1A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D455D">
        <w:rPr>
          <w:rFonts w:asciiTheme="minorHAnsi" w:hAnsiTheme="minorHAnsi" w:cs="Arial"/>
          <w:sz w:val="22"/>
          <w:szCs w:val="22"/>
        </w:rPr>
        <w:t xml:space="preserve">Hylec-APL specialises in the manufacture and supply of electrical components including connectors and terminal blocks, weatherproof connectors, cable glands, enclosures and control components. The company also supplies </w:t>
      </w:r>
      <w:proofErr w:type="spellStart"/>
      <w:r w:rsidRPr="006D455D">
        <w:rPr>
          <w:rFonts w:asciiTheme="minorHAnsi" w:hAnsiTheme="minorHAnsi" w:cs="Arial"/>
          <w:sz w:val="22"/>
          <w:szCs w:val="22"/>
        </w:rPr>
        <w:t>Retex</w:t>
      </w:r>
      <w:proofErr w:type="spellEnd"/>
      <w:r w:rsidRPr="006D455D">
        <w:rPr>
          <w:rFonts w:asciiTheme="minorHAnsi" w:hAnsiTheme="minorHAnsi" w:cs="Arial"/>
          <w:sz w:val="22"/>
          <w:szCs w:val="22"/>
        </w:rPr>
        <w:t xml:space="preserve"> 19in and other racking products.</w:t>
      </w:r>
    </w:p>
    <w:p w:rsidR="006D455D" w:rsidRPr="006D455D" w:rsidRDefault="006D455D" w:rsidP="00C46F1A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C46F1A" w:rsidRPr="006D455D" w:rsidRDefault="00C46F1A" w:rsidP="00C46F1A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D455D">
        <w:rPr>
          <w:rFonts w:asciiTheme="minorHAnsi" w:hAnsiTheme="minorHAnsi" w:cs="Arial"/>
          <w:sz w:val="22"/>
          <w:szCs w:val="22"/>
        </w:rPr>
        <w:t>Hylec-APL has over 30 years of experience, supplying electrical components to major OEMs and CEMs (electrical and electronic), wholesalers and specialist &amp; catalogue distributors. Essential to the company's strategy is the ability to develop long term business partnerships with customers; this is reinforced by a policy of active field sales, a large inventory of available parts and an all-pervasive service culture.</w:t>
      </w:r>
    </w:p>
    <w:p w:rsidR="006D455D" w:rsidRPr="006D455D" w:rsidRDefault="006D455D" w:rsidP="006D455D">
      <w:pPr>
        <w:pStyle w:val="paragraph"/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6D455D">
        <w:rPr>
          <w:rFonts w:asciiTheme="minorHAnsi" w:hAnsiTheme="minorHAnsi" w:cs="Arial"/>
        </w:rPr>
        <w:t>For more information:</w:t>
      </w:r>
    </w:p>
    <w:p w:rsidR="006D455D" w:rsidRPr="006D455D" w:rsidRDefault="006D455D" w:rsidP="006D455D">
      <w:pPr>
        <w:pStyle w:val="paragraph"/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6D455D">
        <w:rPr>
          <w:rFonts w:asciiTheme="minorHAnsi" w:hAnsiTheme="minorHAnsi" w:cs="Arial"/>
        </w:rPr>
        <w:t xml:space="preserve">Hylec-APL </w:t>
      </w:r>
    </w:p>
    <w:p w:rsidR="006D455D" w:rsidRPr="006D455D" w:rsidRDefault="006D455D" w:rsidP="006D455D">
      <w:pPr>
        <w:pStyle w:val="paragraph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6D455D">
        <w:rPr>
          <w:rFonts w:asciiTheme="minorHAnsi" w:hAnsiTheme="minorHAnsi" w:cs="Arial"/>
          <w:sz w:val="22"/>
          <w:szCs w:val="22"/>
        </w:rPr>
        <w:t>Mark Severn, Director of Sales</w:t>
      </w:r>
    </w:p>
    <w:p w:rsidR="006D455D" w:rsidRPr="006D455D" w:rsidRDefault="006D455D" w:rsidP="006D455D">
      <w:pPr>
        <w:pStyle w:val="paragraph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6D455D">
        <w:rPr>
          <w:rFonts w:asciiTheme="minorHAnsi" w:hAnsiTheme="minorHAnsi" w:cs="Arial"/>
          <w:sz w:val="22"/>
          <w:szCs w:val="22"/>
        </w:rPr>
        <w:t>+44-1933 234400</w:t>
      </w:r>
    </w:p>
    <w:p w:rsidR="006D455D" w:rsidRPr="006D455D" w:rsidRDefault="006D455D" w:rsidP="006D455D">
      <w:pPr>
        <w:pStyle w:val="paragraph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6D455D">
        <w:rPr>
          <w:rFonts w:asciiTheme="minorHAnsi" w:hAnsiTheme="minorHAnsi" w:cs="Arial"/>
          <w:sz w:val="22"/>
          <w:szCs w:val="22"/>
        </w:rPr>
        <w:t>Mark@hylec-apl.com</w:t>
      </w:r>
    </w:p>
    <w:p w:rsidR="006D455D" w:rsidRPr="006D455D" w:rsidRDefault="006D455D" w:rsidP="006D455D">
      <w:pPr>
        <w:pStyle w:val="paragraph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6D455D">
        <w:rPr>
          <w:rFonts w:asciiTheme="minorHAnsi" w:hAnsiTheme="minorHAnsi" w:cs="Arial"/>
          <w:sz w:val="22"/>
          <w:szCs w:val="22"/>
        </w:rPr>
        <w:t>www.hylec-apl.com</w:t>
      </w:r>
    </w:p>
    <w:p w:rsidR="006D455D" w:rsidRPr="006D455D" w:rsidRDefault="006D455D" w:rsidP="006D455D">
      <w:pPr>
        <w:pStyle w:val="paragraph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6D455D" w:rsidRPr="006D455D" w:rsidRDefault="006D455D" w:rsidP="006D455D">
      <w:pPr>
        <w:pStyle w:val="paragraph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6D455D">
        <w:rPr>
          <w:rFonts w:asciiTheme="minorHAnsi" w:hAnsiTheme="minorHAnsi" w:cs="Arial"/>
          <w:sz w:val="22"/>
          <w:szCs w:val="22"/>
        </w:rPr>
        <w:t>Agency: BWW Communications</w:t>
      </w:r>
    </w:p>
    <w:p w:rsidR="006D455D" w:rsidRPr="006D455D" w:rsidRDefault="006D455D" w:rsidP="006D455D">
      <w:pPr>
        <w:pStyle w:val="paragraph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6D455D">
        <w:rPr>
          <w:rFonts w:asciiTheme="minorHAnsi" w:hAnsiTheme="minorHAnsi" w:cs="Arial"/>
          <w:sz w:val="22"/>
          <w:szCs w:val="22"/>
        </w:rPr>
        <w:t>Nick Foot, PR Director</w:t>
      </w:r>
    </w:p>
    <w:p w:rsidR="006D455D" w:rsidRPr="006D455D" w:rsidRDefault="006D455D" w:rsidP="006D455D">
      <w:pPr>
        <w:pStyle w:val="paragraph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6D455D">
        <w:rPr>
          <w:rFonts w:asciiTheme="minorHAnsi" w:hAnsiTheme="minorHAnsi" w:cs="Arial"/>
          <w:sz w:val="22"/>
          <w:szCs w:val="22"/>
        </w:rPr>
        <w:t>+44-1491-636392</w:t>
      </w:r>
    </w:p>
    <w:p w:rsidR="006D455D" w:rsidRPr="006D455D" w:rsidRDefault="006D455D" w:rsidP="006D455D">
      <w:pPr>
        <w:pStyle w:val="paragraph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6D455D">
        <w:rPr>
          <w:rFonts w:asciiTheme="minorHAnsi" w:hAnsiTheme="minorHAnsi" w:cs="Arial"/>
          <w:sz w:val="22"/>
          <w:szCs w:val="22"/>
        </w:rPr>
        <w:t>+44-7808-362251</w:t>
      </w:r>
    </w:p>
    <w:p w:rsidR="006D455D" w:rsidRPr="006D455D" w:rsidRDefault="006D455D" w:rsidP="006D455D">
      <w:pPr>
        <w:pStyle w:val="paragraph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6D455D">
        <w:rPr>
          <w:rFonts w:asciiTheme="minorHAnsi" w:hAnsiTheme="minorHAnsi" w:cs="Arial"/>
          <w:sz w:val="22"/>
          <w:szCs w:val="22"/>
        </w:rPr>
        <w:t>Nick.foot@bwwcomms.com</w:t>
      </w:r>
    </w:p>
    <w:p w:rsidR="006D455D" w:rsidRPr="006D455D" w:rsidRDefault="006D455D" w:rsidP="006D455D">
      <w:pPr>
        <w:pStyle w:val="paragraph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6D455D">
        <w:rPr>
          <w:rFonts w:asciiTheme="minorHAnsi" w:hAnsiTheme="minorHAnsi" w:cs="Arial"/>
          <w:sz w:val="22"/>
          <w:szCs w:val="22"/>
        </w:rPr>
        <w:t>www.bwwcomms.com</w:t>
      </w:r>
    </w:p>
    <w:p w:rsidR="008F0C66" w:rsidRPr="003F5FA1" w:rsidRDefault="008F0C66" w:rsidP="005C639C">
      <w:pPr>
        <w:jc w:val="both"/>
        <w:rPr>
          <w:rFonts w:ascii="Calibri" w:hAnsi="Calibri"/>
          <w:szCs w:val="24"/>
        </w:rPr>
      </w:pPr>
    </w:p>
    <w:sectPr w:rsidR="008F0C66" w:rsidRPr="003F5FA1" w:rsidSect="003E7A52">
      <w:footerReference w:type="default" r:id="rId9"/>
      <w:headerReference w:type="first" r:id="rId10"/>
      <w:pgSz w:w="11904" w:h="16838"/>
      <w:pgMar w:top="326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3C" w:rsidRDefault="004A293C">
      <w:r>
        <w:separator/>
      </w:r>
    </w:p>
  </w:endnote>
  <w:endnote w:type="continuationSeparator" w:id="0">
    <w:p w:rsidR="004A293C" w:rsidRDefault="004A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0F" w:rsidRDefault="009A0E7E" w:rsidP="008F0C66">
    <w:pPr>
      <w:pStyle w:val="Footer"/>
      <w:jc w:val="cen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left:0;text-align:left;margin-left:-76.95pt;margin-top:9.15pt;width:600.15pt;height:36pt;z-index:251659776;visibility:visible" wrapcoords="-27 0 -27 21150 21600 21150 21600 0 -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oGgAIAAA8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" stroked="f">
          <v:textbox>
            <w:txbxContent>
              <w:p w:rsidR="00FB450F" w:rsidRPr="00B75904" w:rsidRDefault="00FB450F" w:rsidP="008F0C66">
                <w:pPr>
                  <w:jc w:val="center"/>
                  <w:rPr>
                    <w:rFonts w:ascii="Calibri" w:hAnsi="Calibri"/>
                    <w:color w:val="008000"/>
                    <w:sz w:val="16"/>
                  </w:rPr>
                </w:pPr>
              </w:p>
              <w:p w:rsidR="00FB450F" w:rsidRPr="00B75904" w:rsidRDefault="00FB450F" w:rsidP="008F0C66"/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3C" w:rsidRDefault="004A293C">
      <w:r>
        <w:separator/>
      </w:r>
    </w:p>
  </w:footnote>
  <w:footnote w:type="continuationSeparator" w:id="0">
    <w:p w:rsidR="004A293C" w:rsidRDefault="004A2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0F" w:rsidRDefault="00C46F1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-633819</wp:posOffset>
          </wp:positionH>
          <wp:positionV relativeFrom="paragraph">
            <wp:posOffset>34438</wp:posOffset>
          </wp:positionV>
          <wp:extent cx="2643372" cy="882502"/>
          <wp:effectExtent l="2540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372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0E7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37.05pt;margin-top:.2pt;width:171pt;height:9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aigw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" stroked="f">
          <v:textbox>
            <w:txbxContent>
              <w:p w:rsidR="004A6A0A" w:rsidRPr="00B41429" w:rsidRDefault="003A6CD2" w:rsidP="004A6A0A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3A6CD2">
                  <w:rPr>
                    <w:rFonts w:asciiTheme="minorHAnsi" w:hAnsiTheme="minorHAnsi"/>
                    <w:b/>
                    <w:sz w:val="22"/>
                  </w:rPr>
                  <w:t>Hylec-APL Ltd.</w:t>
                </w:r>
              </w:p>
              <w:p w:rsidR="00FB450F" w:rsidRPr="0019459B" w:rsidRDefault="003A6CD2" w:rsidP="004A6A0A">
                <w:pPr>
                  <w:rPr>
                    <w:rFonts w:asciiTheme="minorHAnsi" w:hAnsiTheme="minorHAnsi"/>
                    <w:sz w:val="20"/>
                  </w:rPr>
                </w:pPr>
                <w:r w:rsidRPr="003A6CD2">
                  <w:rPr>
                    <w:rFonts w:asciiTheme="minorHAnsi" w:hAnsiTheme="minorHAnsi"/>
                    <w:sz w:val="20"/>
                  </w:rPr>
                  <w:t>6 Stanton Close</w:t>
                </w:r>
                <w:r w:rsidRPr="003A6CD2">
                  <w:rPr>
                    <w:rFonts w:asciiTheme="minorHAnsi" w:hAnsiTheme="minorHAnsi"/>
                    <w:sz w:val="20"/>
                  </w:rPr>
                  <w:br/>
                </w:r>
                <w:proofErr w:type="spellStart"/>
                <w:r w:rsidRPr="003A6CD2">
                  <w:rPr>
                    <w:rFonts w:asciiTheme="minorHAnsi" w:hAnsiTheme="minorHAnsi"/>
                    <w:sz w:val="20"/>
                    <w:szCs w:val="18"/>
                  </w:rPr>
                  <w:t>Finedon</w:t>
                </w:r>
                <w:proofErr w:type="spellEnd"/>
                <w:r w:rsidRPr="003A6CD2">
                  <w:rPr>
                    <w:rFonts w:asciiTheme="minorHAnsi" w:hAnsiTheme="minorHAnsi"/>
                    <w:sz w:val="20"/>
                    <w:szCs w:val="18"/>
                  </w:rPr>
                  <w:t xml:space="preserve"> Road Industrial Estate</w:t>
                </w:r>
                <w:r w:rsidRPr="003A6CD2">
                  <w:rPr>
                    <w:rFonts w:asciiTheme="minorHAnsi" w:hAnsiTheme="minorHAnsi"/>
                    <w:sz w:val="20"/>
                    <w:szCs w:val="18"/>
                  </w:rPr>
                  <w:br/>
                </w:r>
                <w:proofErr w:type="spellStart"/>
                <w:r w:rsidRPr="003A6CD2">
                  <w:rPr>
                    <w:rFonts w:asciiTheme="minorHAnsi" w:hAnsiTheme="minorHAnsi"/>
                    <w:sz w:val="20"/>
                    <w:szCs w:val="18"/>
                  </w:rPr>
                  <w:t>Wellingborough</w:t>
                </w:r>
                <w:proofErr w:type="spellEnd"/>
                <w:r w:rsidRPr="003A6CD2">
                  <w:rPr>
                    <w:rFonts w:asciiTheme="minorHAnsi" w:hAnsiTheme="minorHAnsi"/>
                    <w:sz w:val="20"/>
                    <w:szCs w:val="18"/>
                  </w:rPr>
                  <w:br/>
                  <w:t>NN8 4HN</w:t>
                </w:r>
                <w:r w:rsidRPr="003A6CD2">
                  <w:rPr>
                    <w:rFonts w:asciiTheme="minorHAnsi" w:hAnsiTheme="minorHAnsi"/>
                    <w:sz w:val="20"/>
                    <w:szCs w:val="18"/>
                  </w:rPr>
                  <w:br/>
                  <w:t>United Kingdom</w:t>
                </w:r>
                <w:r>
                  <w:t xml:space="preserve"> </w:t>
                </w:r>
              </w:p>
            </w:txbxContent>
          </v:textbox>
        </v:shape>
      </w:pict>
    </w:r>
    <w:r w:rsidR="0019459B" w:rsidRPr="0019459B">
      <w:t xml:space="preserve"> </w:t>
    </w:r>
    <w:r w:rsidR="009A0E7E">
      <w:rPr>
        <w:noProof/>
        <w:lang w:val="en-GB" w:eastAsia="en-GB"/>
      </w:rPr>
      <w:pict>
        <v:line id="Line 4" o:spid="_x0000_s4097" style="position:absolute;flip:x;z-index:251658752;visibility:visible;mso-wrap-distance-top:-6e-5mm;mso-wrap-distance-bottom:-6e-5mm;mso-position-horizontal-relative:text;mso-position-vertical-relative:text" from="-40.95pt,107.45pt" to="490.0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" strokecolor="gray [1629]" strokeweight="1pt">
          <v:shadow opacity="22938f" offset="0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164C"/>
    <w:multiLevelType w:val="multilevel"/>
    <w:tmpl w:val="2F70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72959"/>
    <w:multiLevelType w:val="multilevel"/>
    <w:tmpl w:val="F4B0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F7AD6"/>
    <w:multiLevelType w:val="multilevel"/>
    <w:tmpl w:val="7364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7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ru v:ext="edit" colors="#0046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843"/>
    <w:rsid w:val="000070C4"/>
    <w:rsid w:val="0001773C"/>
    <w:rsid w:val="00023306"/>
    <w:rsid w:val="0002669C"/>
    <w:rsid w:val="00034C0E"/>
    <w:rsid w:val="00036EB3"/>
    <w:rsid w:val="0004096F"/>
    <w:rsid w:val="00060F78"/>
    <w:rsid w:val="00064AC9"/>
    <w:rsid w:val="00066B1D"/>
    <w:rsid w:val="00072C31"/>
    <w:rsid w:val="00074ACC"/>
    <w:rsid w:val="000778BB"/>
    <w:rsid w:val="00080784"/>
    <w:rsid w:val="00081356"/>
    <w:rsid w:val="000A10F3"/>
    <w:rsid w:val="000A3E81"/>
    <w:rsid w:val="000A4582"/>
    <w:rsid w:val="000B02CF"/>
    <w:rsid w:val="000B7BB0"/>
    <w:rsid w:val="000C08AB"/>
    <w:rsid w:val="000C2050"/>
    <w:rsid w:val="000D3EB5"/>
    <w:rsid w:val="000D5077"/>
    <w:rsid w:val="000E386A"/>
    <w:rsid w:val="000E3FE6"/>
    <w:rsid w:val="000F4200"/>
    <w:rsid w:val="00101483"/>
    <w:rsid w:val="001017DB"/>
    <w:rsid w:val="00102EE7"/>
    <w:rsid w:val="00104796"/>
    <w:rsid w:val="0011495E"/>
    <w:rsid w:val="00115B5F"/>
    <w:rsid w:val="001235EE"/>
    <w:rsid w:val="00124D1E"/>
    <w:rsid w:val="00144B9A"/>
    <w:rsid w:val="00153719"/>
    <w:rsid w:val="00167665"/>
    <w:rsid w:val="00171285"/>
    <w:rsid w:val="0017282D"/>
    <w:rsid w:val="001778B6"/>
    <w:rsid w:val="00182453"/>
    <w:rsid w:val="0018554F"/>
    <w:rsid w:val="0019459B"/>
    <w:rsid w:val="00195107"/>
    <w:rsid w:val="001A268C"/>
    <w:rsid w:val="001B57D6"/>
    <w:rsid w:val="001D6276"/>
    <w:rsid w:val="001E7428"/>
    <w:rsid w:val="001F6BE1"/>
    <w:rsid w:val="001F79C6"/>
    <w:rsid w:val="00202C26"/>
    <w:rsid w:val="0021036E"/>
    <w:rsid w:val="00223E69"/>
    <w:rsid w:val="002273A3"/>
    <w:rsid w:val="002334BC"/>
    <w:rsid w:val="00247188"/>
    <w:rsid w:val="002515A8"/>
    <w:rsid w:val="00252F75"/>
    <w:rsid w:val="00254209"/>
    <w:rsid w:val="00255975"/>
    <w:rsid w:val="00271846"/>
    <w:rsid w:val="0028070F"/>
    <w:rsid w:val="002813D1"/>
    <w:rsid w:val="002849B8"/>
    <w:rsid w:val="00291671"/>
    <w:rsid w:val="00294C42"/>
    <w:rsid w:val="002953C2"/>
    <w:rsid w:val="002A4F0A"/>
    <w:rsid w:val="002A5EF2"/>
    <w:rsid w:val="002B18BE"/>
    <w:rsid w:val="002B3788"/>
    <w:rsid w:val="002B56E6"/>
    <w:rsid w:val="002B6608"/>
    <w:rsid w:val="002C3C45"/>
    <w:rsid w:val="002C415F"/>
    <w:rsid w:val="002D1539"/>
    <w:rsid w:val="002D78BE"/>
    <w:rsid w:val="002E5D1E"/>
    <w:rsid w:val="002E7F58"/>
    <w:rsid w:val="002F0198"/>
    <w:rsid w:val="002F107C"/>
    <w:rsid w:val="0030211F"/>
    <w:rsid w:val="003062B7"/>
    <w:rsid w:val="003122BB"/>
    <w:rsid w:val="003129F2"/>
    <w:rsid w:val="00314693"/>
    <w:rsid w:val="003261B9"/>
    <w:rsid w:val="00327A7C"/>
    <w:rsid w:val="0033082E"/>
    <w:rsid w:val="00342AB9"/>
    <w:rsid w:val="00366C14"/>
    <w:rsid w:val="00386869"/>
    <w:rsid w:val="00387E1B"/>
    <w:rsid w:val="00390656"/>
    <w:rsid w:val="00393D33"/>
    <w:rsid w:val="003A19AD"/>
    <w:rsid w:val="003A1F18"/>
    <w:rsid w:val="003A6CD2"/>
    <w:rsid w:val="003B0041"/>
    <w:rsid w:val="003B2939"/>
    <w:rsid w:val="003B2A3C"/>
    <w:rsid w:val="003B4334"/>
    <w:rsid w:val="003B4993"/>
    <w:rsid w:val="003B5BED"/>
    <w:rsid w:val="003C44CB"/>
    <w:rsid w:val="003C6B2B"/>
    <w:rsid w:val="003C7097"/>
    <w:rsid w:val="003C738B"/>
    <w:rsid w:val="003D183F"/>
    <w:rsid w:val="003E456B"/>
    <w:rsid w:val="003E6BF9"/>
    <w:rsid w:val="003E7A52"/>
    <w:rsid w:val="003F0CA6"/>
    <w:rsid w:val="003F28FC"/>
    <w:rsid w:val="003F46AE"/>
    <w:rsid w:val="003F5FA1"/>
    <w:rsid w:val="0040053A"/>
    <w:rsid w:val="004046F4"/>
    <w:rsid w:val="00406194"/>
    <w:rsid w:val="004122D2"/>
    <w:rsid w:val="00415C26"/>
    <w:rsid w:val="00415F77"/>
    <w:rsid w:val="00417EBB"/>
    <w:rsid w:val="0042737D"/>
    <w:rsid w:val="0043286A"/>
    <w:rsid w:val="0043388C"/>
    <w:rsid w:val="004368E2"/>
    <w:rsid w:val="004416C3"/>
    <w:rsid w:val="00445B31"/>
    <w:rsid w:val="00466227"/>
    <w:rsid w:val="00474175"/>
    <w:rsid w:val="00482227"/>
    <w:rsid w:val="00483138"/>
    <w:rsid w:val="00491B85"/>
    <w:rsid w:val="00491E5E"/>
    <w:rsid w:val="004A293C"/>
    <w:rsid w:val="004A6A0A"/>
    <w:rsid w:val="004B1984"/>
    <w:rsid w:val="004D360D"/>
    <w:rsid w:val="004D63EC"/>
    <w:rsid w:val="004D6EE7"/>
    <w:rsid w:val="004D7451"/>
    <w:rsid w:val="004E485C"/>
    <w:rsid w:val="004E53DD"/>
    <w:rsid w:val="004F4644"/>
    <w:rsid w:val="004F72DA"/>
    <w:rsid w:val="005002DF"/>
    <w:rsid w:val="005048BC"/>
    <w:rsid w:val="00511897"/>
    <w:rsid w:val="00516A46"/>
    <w:rsid w:val="00524C0A"/>
    <w:rsid w:val="005343A0"/>
    <w:rsid w:val="00536373"/>
    <w:rsid w:val="00540C23"/>
    <w:rsid w:val="005433F9"/>
    <w:rsid w:val="00547CDA"/>
    <w:rsid w:val="00550892"/>
    <w:rsid w:val="005668A8"/>
    <w:rsid w:val="0057043A"/>
    <w:rsid w:val="00570EB3"/>
    <w:rsid w:val="00580CDB"/>
    <w:rsid w:val="0059400D"/>
    <w:rsid w:val="00596F9F"/>
    <w:rsid w:val="005A0CF3"/>
    <w:rsid w:val="005A2214"/>
    <w:rsid w:val="005C639C"/>
    <w:rsid w:val="005D5110"/>
    <w:rsid w:val="005E1A21"/>
    <w:rsid w:val="005E1E62"/>
    <w:rsid w:val="005F1975"/>
    <w:rsid w:val="005F4458"/>
    <w:rsid w:val="005F68DA"/>
    <w:rsid w:val="00600968"/>
    <w:rsid w:val="00601387"/>
    <w:rsid w:val="00601935"/>
    <w:rsid w:val="00612A08"/>
    <w:rsid w:val="0062116B"/>
    <w:rsid w:val="00627C46"/>
    <w:rsid w:val="0064150B"/>
    <w:rsid w:val="00645194"/>
    <w:rsid w:val="00646084"/>
    <w:rsid w:val="00646D58"/>
    <w:rsid w:val="00647241"/>
    <w:rsid w:val="00673529"/>
    <w:rsid w:val="00674A52"/>
    <w:rsid w:val="00674C8E"/>
    <w:rsid w:val="00692542"/>
    <w:rsid w:val="006B3583"/>
    <w:rsid w:val="006B5836"/>
    <w:rsid w:val="006B5D5B"/>
    <w:rsid w:val="006C4A56"/>
    <w:rsid w:val="006C53EA"/>
    <w:rsid w:val="006D455D"/>
    <w:rsid w:val="006D675B"/>
    <w:rsid w:val="006F521F"/>
    <w:rsid w:val="007014FA"/>
    <w:rsid w:val="0070163E"/>
    <w:rsid w:val="007127FA"/>
    <w:rsid w:val="0072063B"/>
    <w:rsid w:val="00721661"/>
    <w:rsid w:val="0072243B"/>
    <w:rsid w:val="007257D2"/>
    <w:rsid w:val="00732D43"/>
    <w:rsid w:val="007403DA"/>
    <w:rsid w:val="00742A98"/>
    <w:rsid w:val="007441F0"/>
    <w:rsid w:val="007617CE"/>
    <w:rsid w:val="007732D5"/>
    <w:rsid w:val="0077443B"/>
    <w:rsid w:val="00780E3A"/>
    <w:rsid w:val="00795873"/>
    <w:rsid w:val="00796070"/>
    <w:rsid w:val="00797158"/>
    <w:rsid w:val="007975A5"/>
    <w:rsid w:val="007A1826"/>
    <w:rsid w:val="007A50E6"/>
    <w:rsid w:val="007A54C3"/>
    <w:rsid w:val="007B09E6"/>
    <w:rsid w:val="007B5D70"/>
    <w:rsid w:val="007C2E23"/>
    <w:rsid w:val="007C300A"/>
    <w:rsid w:val="007D31BB"/>
    <w:rsid w:val="007D4D61"/>
    <w:rsid w:val="007E4FEB"/>
    <w:rsid w:val="007E726D"/>
    <w:rsid w:val="007E77FC"/>
    <w:rsid w:val="007F4078"/>
    <w:rsid w:val="00801EDC"/>
    <w:rsid w:val="00804021"/>
    <w:rsid w:val="00807E82"/>
    <w:rsid w:val="008135D2"/>
    <w:rsid w:val="00816E9B"/>
    <w:rsid w:val="00820D92"/>
    <w:rsid w:val="008341A0"/>
    <w:rsid w:val="0083510B"/>
    <w:rsid w:val="00837C97"/>
    <w:rsid w:val="00842C40"/>
    <w:rsid w:val="00845003"/>
    <w:rsid w:val="008476ED"/>
    <w:rsid w:val="00860BB5"/>
    <w:rsid w:val="00862908"/>
    <w:rsid w:val="00871B15"/>
    <w:rsid w:val="00877231"/>
    <w:rsid w:val="00877D1C"/>
    <w:rsid w:val="00885F9C"/>
    <w:rsid w:val="0089359A"/>
    <w:rsid w:val="008939D8"/>
    <w:rsid w:val="00896C38"/>
    <w:rsid w:val="00897376"/>
    <w:rsid w:val="0089758C"/>
    <w:rsid w:val="008A213E"/>
    <w:rsid w:val="008A2E1C"/>
    <w:rsid w:val="008B2F69"/>
    <w:rsid w:val="008D3F9D"/>
    <w:rsid w:val="008D603D"/>
    <w:rsid w:val="008E7805"/>
    <w:rsid w:val="008F0C66"/>
    <w:rsid w:val="008F0E49"/>
    <w:rsid w:val="008F4DC6"/>
    <w:rsid w:val="008F54BF"/>
    <w:rsid w:val="00902FDD"/>
    <w:rsid w:val="00917695"/>
    <w:rsid w:val="00931B10"/>
    <w:rsid w:val="00937361"/>
    <w:rsid w:val="00940539"/>
    <w:rsid w:val="00940DFC"/>
    <w:rsid w:val="009439C5"/>
    <w:rsid w:val="00957AB7"/>
    <w:rsid w:val="00973832"/>
    <w:rsid w:val="009776B8"/>
    <w:rsid w:val="00987D7F"/>
    <w:rsid w:val="00991313"/>
    <w:rsid w:val="0099300A"/>
    <w:rsid w:val="009A0E7E"/>
    <w:rsid w:val="009A12E9"/>
    <w:rsid w:val="009A4325"/>
    <w:rsid w:val="009B41D6"/>
    <w:rsid w:val="009B5B1B"/>
    <w:rsid w:val="009C0887"/>
    <w:rsid w:val="009C1DF0"/>
    <w:rsid w:val="009C1E67"/>
    <w:rsid w:val="009C3193"/>
    <w:rsid w:val="009C33AB"/>
    <w:rsid w:val="009C7DD8"/>
    <w:rsid w:val="009D052D"/>
    <w:rsid w:val="009D0921"/>
    <w:rsid w:val="009D566B"/>
    <w:rsid w:val="009D7196"/>
    <w:rsid w:val="009E4B1B"/>
    <w:rsid w:val="009F3324"/>
    <w:rsid w:val="00A01325"/>
    <w:rsid w:val="00A01411"/>
    <w:rsid w:val="00A04BCB"/>
    <w:rsid w:val="00A101AE"/>
    <w:rsid w:val="00A25F6F"/>
    <w:rsid w:val="00A307D9"/>
    <w:rsid w:val="00A3172B"/>
    <w:rsid w:val="00A40850"/>
    <w:rsid w:val="00A40C88"/>
    <w:rsid w:val="00A46D4E"/>
    <w:rsid w:val="00A47CBE"/>
    <w:rsid w:val="00A531F3"/>
    <w:rsid w:val="00A6483C"/>
    <w:rsid w:val="00A96B70"/>
    <w:rsid w:val="00AA20E4"/>
    <w:rsid w:val="00AB0354"/>
    <w:rsid w:val="00AB4C40"/>
    <w:rsid w:val="00AC2308"/>
    <w:rsid w:val="00AC242E"/>
    <w:rsid w:val="00AD16AF"/>
    <w:rsid w:val="00AD601D"/>
    <w:rsid w:val="00AD7B41"/>
    <w:rsid w:val="00AE2873"/>
    <w:rsid w:val="00AE527E"/>
    <w:rsid w:val="00AF45AE"/>
    <w:rsid w:val="00B06B3E"/>
    <w:rsid w:val="00B11578"/>
    <w:rsid w:val="00B11FAD"/>
    <w:rsid w:val="00B132C7"/>
    <w:rsid w:val="00B16D2A"/>
    <w:rsid w:val="00B2022C"/>
    <w:rsid w:val="00B2599F"/>
    <w:rsid w:val="00B25E94"/>
    <w:rsid w:val="00B330DA"/>
    <w:rsid w:val="00B41429"/>
    <w:rsid w:val="00B43A87"/>
    <w:rsid w:val="00B47970"/>
    <w:rsid w:val="00B52CEE"/>
    <w:rsid w:val="00B57596"/>
    <w:rsid w:val="00B73B48"/>
    <w:rsid w:val="00B94223"/>
    <w:rsid w:val="00BA5325"/>
    <w:rsid w:val="00BC71A6"/>
    <w:rsid w:val="00BD09A5"/>
    <w:rsid w:val="00BD3505"/>
    <w:rsid w:val="00BE3C22"/>
    <w:rsid w:val="00BE4843"/>
    <w:rsid w:val="00BE6867"/>
    <w:rsid w:val="00BE7AA9"/>
    <w:rsid w:val="00C04F4A"/>
    <w:rsid w:val="00C119B8"/>
    <w:rsid w:val="00C136DB"/>
    <w:rsid w:val="00C20BD4"/>
    <w:rsid w:val="00C43194"/>
    <w:rsid w:val="00C46F1A"/>
    <w:rsid w:val="00C656D7"/>
    <w:rsid w:val="00C72A37"/>
    <w:rsid w:val="00C73941"/>
    <w:rsid w:val="00C82312"/>
    <w:rsid w:val="00C82ED4"/>
    <w:rsid w:val="00C835C2"/>
    <w:rsid w:val="00CA7BFD"/>
    <w:rsid w:val="00CC0E2F"/>
    <w:rsid w:val="00CC2243"/>
    <w:rsid w:val="00CC62F1"/>
    <w:rsid w:val="00CC65DF"/>
    <w:rsid w:val="00CD65D1"/>
    <w:rsid w:val="00CE202F"/>
    <w:rsid w:val="00CF26AC"/>
    <w:rsid w:val="00CF6D8D"/>
    <w:rsid w:val="00D004E9"/>
    <w:rsid w:val="00D03921"/>
    <w:rsid w:val="00D07EDC"/>
    <w:rsid w:val="00D27600"/>
    <w:rsid w:val="00D30977"/>
    <w:rsid w:val="00D32B26"/>
    <w:rsid w:val="00D43609"/>
    <w:rsid w:val="00D45B33"/>
    <w:rsid w:val="00D47A0E"/>
    <w:rsid w:val="00D53A64"/>
    <w:rsid w:val="00D54350"/>
    <w:rsid w:val="00D636F7"/>
    <w:rsid w:val="00D734D9"/>
    <w:rsid w:val="00D801F0"/>
    <w:rsid w:val="00D81B9C"/>
    <w:rsid w:val="00D835D8"/>
    <w:rsid w:val="00D83FB2"/>
    <w:rsid w:val="00D850A3"/>
    <w:rsid w:val="00D93114"/>
    <w:rsid w:val="00D97543"/>
    <w:rsid w:val="00DA0B66"/>
    <w:rsid w:val="00DA10D1"/>
    <w:rsid w:val="00DA1A7B"/>
    <w:rsid w:val="00DA2CFD"/>
    <w:rsid w:val="00DA4C19"/>
    <w:rsid w:val="00DA6E26"/>
    <w:rsid w:val="00DC30F6"/>
    <w:rsid w:val="00DC706D"/>
    <w:rsid w:val="00DC7E10"/>
    <w:rsid w:val="00DC7FE0"/>
    <w:rsid w:val="00DD2328"/>
    <w:rsid w:val="00DD654D"/>
    <w:rsid w:val="00DD6CFF"/>
    <w:rsid w:val="00DE5C92"/>
    <w:rsid w:val="00DF20D3"/>
    <w:rsid w:val="00E00F85"/>
    <w:rsid w:val="00E03E30"/>
    <w:rsid w:val="00E05C68"/>
    <w:rsid w:val="00E10957"/>
    <w:rsid w:val="00E2159D"/>
    <w:rsid w:val="00E2547E"/>
    <w:rsid w:val="00E32E7F"/>
    <w:rsid w:val="00E56BC3"/>
    <w:rsid w:val="00E56C15"/>
    <w:rsid w:val="00E65093"/>
    <w:rsid w:val="00E71F56"/>
    <w:rsid w:val="00E83A99"/>
    <w:rsid w:val="00E91031"/>
    <w:rsid w:val="00E9174E"/>
    <w:rsid w:val="00E97B9F"/>
    <w:rsid w:val="00EA58DB"/>
    <w:rsid w:val="00EB6251"/>
    <w:rsid w:val="00EB6AEF"/>
    <w:rsid w:val="00EB700C"/>
    <w:rsid w:val="00EB797B"/>
    <w:rsid w:val="00EC372E"/>
    <w:rsid w:val="00EC5DF1"/>
    <w:rsid w:val="00EC76D2"/>
    <w:rsid w:val="00ED49BE"/>
    <w:rsid w:val="00EE2CFB"/>
    <w:rsid w:val="00EF0CAB"/>
    <w:rsid w:val="00EF4A3A"/>
    <w:rsid w:val="00EF617D"/>
    <w:rsid w:val="00EF7B09"/>
    <w:rsid w:val="00F01057"/>
    <w:rsid w:val="00F01973"/>
    <w:rsid w:val="00F02679"/>
    <w:rsid w:val="00F11883"/>
    <w:rsid w:val="00F1246B"/>
    <w:rsid w:val="00F1374E"/>
    <w:rsid w:val="00F17C47"/>
    <w:rsid w:val="00F22AA7"/>
    <w:rsid w:val="00F40541"/>
    <w:rsid w:val="00F54EB2"/>
    <w:rsid w:val="00F833A2"/>
    <w:rsid w:val="00F9067B"/>
    <w:rsid w:val="00FA75EA"/>
    <w:rsid w:val="00FB2C23"/>
    <w:rsid w:val="00FB2DC7"/>
    <w:rsid w:val="00FB450F"/>
    <w:rsid w:val="00FC1BA3"/>
    <w:rsid w:val="00FD5A8F"/>
    <w:rsid w:val="00FE2396"/>
    <w:rsid w:val="00FE6165"/>
    <w:rsid w:val="00FF02A6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46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EastAsia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A52"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7A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A5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868AF"/>
    <w:pPr>
      <w:spacing w:before="100" w:beforeAutospacing="1" w:after="100" w:afterAutospacing="1"/>
    </w:pPr>
    <w:rPr>
      <w:rFonts w:ascii="Times New Roman" w:eastAsia="MS Mincho" w:hAnsi="Times New Roman"/>
      <w:szCs w:val="24"/>
      <w:lang w:val="en-GB"/>
    </w:rPr>
  </w:style>
  <w:style w:type="character" w:styleId="CommentReference">
    <w:name w:val="annotation reference"/>
    <w:uiPriority w:val="99"/>
    <w:semiHidden/>
    <w:rsid w:val="00786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8AF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68AF"/>
    <w:rPr>
      <w:b/>
      <w:bCs/>
    </w:rPr>
  </w:style>
  <w:style w:type="paragraph" w:styleId="BalloonText">
    <w:name w:val="Balloon Text"/>
    <w:basedOn w:val="Normal"/>
    <w:semiHidden/>
    <w:rsid w:val="007868A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8178F"/>
    <w:rPr>
      <w:b/>
      <w:bCs/>
    </w:rPr>
  </w:style>
  <w:style w:type="character" w:styleId="Emphasis">
    <w:name w:val="Emphasis"/>
    <w:uiPriority w:val="20"/>
    <w:qFormat/>
    <w:rsid w:val="00D8178F"/>
    <w:rPr>
      <w:i/>
      <w:iCs/>
    </w:rPr>
  </w:style>
  <w:style w:type="character" w:styleId="Hyperlink">
    <w:name w:val="Hyperlink"/>
    <w:uiPriority w:val="99"/>
    <w:rsid w:val="00D8178F"/>
    <w:rPr>
      <w:color w:val="0000FF"/>
      <w:u w:val="single"/>
    </w:rPr>
  </w:style>
  <w:style w:type="paragraph" w:styleId="DocumentMap">
    <w:name w:val="Document Map"/>
    <w:basedOn w:val="Normal"/>
    <w:semiHidden/>
    <w:rsid w:val="000C7C34"/>
    <w:pPr>
      <w:shd w:val="clear" w:color="auto" w:fill="000080"/>
    </w:pPr>
    <w:rPr>
      <w:rFonts w:ascii="Tahoma" w:hAnsi="Tahoma" w:cs="Tahoma"/>
      <w:sz w:val="20"/>
    </w:rPr>
  </w:style>
  <w:style w:type="character" w:customStyle="1" w:styleId="apple-converted-space">
    <w:name w:val="apple-converted-space"/>
    <w:basedOn w:val="DefaultParagraphFont"/>
    <w:rsid w:val="0002669C"/>
  </w:style>
  <w:style w:type="character" w:customStyle="1" w:styleId="at">
    <w:name w:val="at"/>
    <w:basedOn w:val="DefaultParagraphFont"/>
    <w:rsid w:val="0002669C"/>
  </w:style>
  <w:style w:type="paragraph" w:customStyle="1" w:styleId="seeallshowhide-link">
    <w:name w:val="seeall showhide-link"/>
    <w:basedOn w:val="Normal"/>
    <w:rsid w:val="0002669C"/>
    <w:pPr>
      <w:spacing w:before="100" w:beforeAutospacing="1" w:after="100" w:afterAutospacing="1"/>
    </w:pPr>
    <w:rPr>
      <w:rFonts w:ascii="Times New Roman" w:eastAsia="MS Mincho" w:hAnsi="Times New Roman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0778BB"/>
    <w:rPr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466227"/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466227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s1">
    <w:name w:val="s1"/>
    <w:rsid w:val="00F02679"/>
  </w:style>
  <w:style w:type="paragraph" w:styleId="Revision">
    <w:name w:val="Revision"/>
    <w:hidden/>
    <w:uiPriority w:val="99"/>
    <w:semiHidden/>
    <w:rsid w:val="0021036E"/>
    <w:rPr>
      <w:sz w:val="24"/>
      <w:lang w:eastAsia="ja-JP"/>
    </w:rPr>
  </w:style>
  <w:style w:type="character" w:customStyle="1" w:styleId="orange">
    <w:name w:val="orange"/>
    <w:basedOn w:val="DefaultParagraphFont"/>
    <w:rsid w:val="0019459B"/>
  </w:style>
  <w:style w:type="character" w:customStyle="1" w:styleId="adinsightnumber2206">
    <w:name w:val="adinsightnumber2206"/>
    <w:basedOn w:val="DefaultParagraphFont"/>
    <w:rsid w:val="0019459B"/>
  </w:style>
  <w:style w:type="paragraph" w:customStyle="1" w:styleId="paragraph">
    <w:name w:val="paragraph"/>
    <w:basedOn w:val="Normal"/>
    <w:uiPriority w:val="99"/>
    <w:rsid w:val="00C46F1A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A52"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7A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A5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868AF"/>
    <w:pPr>
      <w:spacing w:before="100" w:beforeAutospacing="1" w:after="100" w:afterAutospacing="1"/>
    </w:pPr>
    <w:rPr>
      <w:rFonts w:ascii="Times New Roman" w:eastAsia="MS Mincho" w:hAnsi="Times New Roman"/>
      <w:szCs w:val="24"/>
      <w:lang w:val="en-GB"/>
    </w:rPr>
  </w:style>
  <w:style w:type="character" w:styleId="CommentReference">
    <w:name w:val="annotation reference"/>
    <w:uiPriority w:val="99"/>
    <w:semiHidden/>
    <w:rsid w:val="00786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8AF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68AF"/>
    <w:rPr>
      <w:b/>
      <w:bCs/>
    </w:rPr>
  </w:style>
  <w:style w:type="paragraph" w:styleId="BalloonText">
    <w:name w:val="Balloon Text"/>
    <w:basedOn w:val="Normal"/>
    <w:semiHidden/>
    <w:rsid w:val="007868A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8178F"/>
    <w:rPr>
      <w:b/>
      <w:bCs/>
    </w:rPr>
  </w:style>
  <w:style w:type="character" w:styleId="Emphasis">
    <w:name w:val="Emphasis"/>
    <w:uiPriority w:val="20"/>
    <w:qFormat/>
    <w:rsid w:val="00D8178F"/>
    <w:rPr>
      <w:i/>
      <w:iCs/>
    </w:rPr>
  </w:style>
  <w:style w:type="character" w:styleId="Hyperlink">
    <w:name w:val="Hyperlink"/>
    <w:uiPriority w:val="99"/>
    <w:rsid w:val="00D8178F"/>
    <w:rPr>
      <w:color w:val="0000FF"/>
      <w:u w:val="single"/>
    </w:rPr>
  </w:style>
  <w:style w:type="paragraph" w:styleId="DocumentMap">
    <w:name w:val="Document Map"/>
    <w:basedOn w:val="Normal"/>
    <w:semiHidden/>
    <w:rsid w:val="000C7C34"/>
    <w:pPr>
      <w:shd w:val="clear" w:color="auto" w:fill="000080"/>
    </w:pPr>
    <w:rPr>
      <w:rFonts w:ascii="Tahoma" w:hAnsi="Tahoma" w:cs="Tahoma"/>
      <w:sz w:val="20"/>
    </w:rPr>
  </w:style>
  <w:style w:type="character" w:customStyle="1" w:styleId="apple-converted-space">
    <w:name w:val="apple-converted-space"/>
    <w:basedOn w:val="DefaultParagraphFont"/>
    <w:rsid w:val="0002669C"/>
  </w:style>
  <w:style w:type="character" w:customStyle="1" w:styleId="at">
    <w:name w:val="at"/>
    <w:basedOn w:val="DefaultParagraphFont"/>
    <w:rsid w:val="0002669C"/>
  </w:style>
  <w:style w:type="paragraph" w:customStyle="1" w:styleId="seeallshowhide-link">
    <w:name w:val="seeall showhide-link"/>
    <w:basedOn w:val="Normal"/>
    <w:rsid w:val="0002669C"/>
    <w:pPr>
      <w:spacing w:before="100" w:beforeAutospacing="1" w:after="100" w:afterAutospacing="1"/>
    </w:pPr>
    <w:rPr>
      <w:rFonts w:ascii="Times New Roman" w:eastAsia="MS Mincho" w:hAnsi="Times New Roman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0778BB"/>
    <w:rPr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466227"/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466227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s1">
    <w:name w:val="s1"/>
    <w:rsid w:val="00F02679"/>
  </w:style>
  <w:style w:type="paragraph" w:styleId="Revision">
    <w:name w:val="Revision"/>
    <w:hidden/>
    <w:uiPriority w:val="99"/>
    <w:semiHidden/>
    <w:rsid w:val="0021036E"/>
    <w:rPr>
      <w:sz w:val="24"/>
      <w:lang w:eastAsia="ja-JP"/>
    </w:rPr>
  </w:style>
  <w:style w:type="character" w:customStyle="1" w:styleId="orange">
    <w:name w:val="orange"/>
    <w:basedOn w:val="DefaultParagraphFont"/>
    <w:rsid w:val="0019459B"/>
  </w:style>
  <w:style w:type="character" w:customStyle="1" w:styleId="adinsightnumber2206">
    <w:name w:val="adinsightnumber2206"/>
    <w:basedOn w:val="DefaultParagraphFont"/>
    <w:rsid w:val="0019459B"/>
  </w:style>
  <w:style w:type="paragraph" w:customStyle="1" w:styleId="paragraph">
    <w:name w:val="paragraph"/>
    <w:basedOn w:val="Normal"/>
    <w:uiPriority w:val="99"/>
    <w:rsid w:val="00C46F1A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lec-apl.com/ABS-Door-Enclosures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AC7A8-4233-45A3-8047-0A981505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Sondrel wins Queen’s Award for Enterprise</vt:lpstr>
    </vt:vector>
  </TitlesOfParts>
  <Company>Hewlett-Packard Company</Company>
  <LinksUpToDate>false</LinksUpToDate>
  <CharactersWithSpaces>2929</CharactersWithSpaces>
  <SharedDoc>false</SharedDoc>
  <HLinks>
    <vt:vector size="12" baseType="variant"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mailto:nick.foot@bwwcomms.com</vt:lpwstr>
      </vt:variant>
      <vt:variant>
        <vt:lpwstr/>
      </vt:variant>
      <vt:variant>
        <vt:i4>2490495</vt:i4>
      </vt:variant>
      <vt:variant>
        <vt:i4>0</vt:i4>
      </vt:variant>
      <vt:variant>
        <vt:i4>0</vt:i4>
      </vt:variant>
      <vt:variant>
        <vt:i4>5</vt:i4>
      </vt:variant>
      <vt:variant>
        <vt:lpwstr>http://www.sondrel.com/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Sondrel wins Queen’s Award for Enterprise</dc:title>
  <dc:creator>nf</dc:creator>
  <cp:lastModifiedBy>Andrew Adkins</cp:lastModifiedBy>
  <cp:revision>3</cp:revision>
  <cp:lastPrinted>2009-04-17T02:05:00Z</cp:lastPrinted>
  <dcterms:created xsi:type="dcterms:W3CDTF">2016-02-04T15:52:00Z</dcterms:created>
  <dcterms:modified xsi:type="dcterms:W3CDTF">2016-02-05T08:50:00Z</dcterms:modified>
</cp:coreProperties>
</file>